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AD5" w:rsidRDefault="005C6AD5" w:rsidP="005C6AD5">
      <w:pPr>
        <w:pStyle w:val="1"/>
      </w:pPr>
      <w:r>
        <w:rPr>
          <w:rFonts w:hint="eastAsia"/>
        </w:rPr>
        <w:t>第四章</w:t>
      </w:r>
      <w:r>
        <w:rPr>
          <w:rFonts w:hint="eastAsia"/>
        </w:rPr>
        <w:t xml:space="preserve"> </w:t>
      </w:r>
      <w:r>
        <w:rPr>
          <w:rFonts w:hint="eastAsia"/>
        </w:rPr>
        <w:t>机械能本章概述</w:t>
      </w:r>
    </w:p>
    <w:p w:rsidR="005C6AD5" w:rsidRDefault="005C6AD5" w:rsidP="005C6AD5">
      <w:pPr>
        <w:pStyle w:val="2"/>
      </w:pPr>
      <w:r>
        <w:rPr>
          <w:rFonts w:hint="eastAsia"/>
        </w:rPr>
        <w:t>一、本章概述</w:t>
      </w:r>
    </w:p>
    <w:p w:rsidR="00F52276" w:rsidRDefault="005C6AD5" w:rsidP="00F52276">
      <w:pPr>
        <w:ind w:firstLine="420"/>
      </w:pPr>
      <w:r>
        <w:rPr>
          <w:rFonts w:hint="eastAsia"/>
        </w:rPr>
        <w:t>本章是在基础型课程中学习机械能的基础上，更加深入学习机械能守恒定律及其应用。本章的导言从“寻找守恒量”具有重要意义来引入，接着对机械能守恒的含义及适用条件进行深入的讨论，在力做功与路径无关的情况下引入势能概念，接着又讨论了机械能守恒定律的几种表达方式。由于动能定理在高</w:t>
      </w:r>
      <w:r w:rsidR="00F52276">
        <w:rPr>
          <w:rFonts w:hint="eastAsia"/>
        </w:rPr>
        <w:t>三</w:t>
      </w:r>
      <w:r>
        <w:rPr>
          <w:rFonts w:hint="eastAsia"/>
        </w:rPr>
        <w:t>拓展型课程Ⅱ中学习，因此教材没有用动能定理导出机械能守恒定律。此外由于课程标准中不要求介绍弹性势能的表达式和引力势能的表达式，机械能守恒定律的有关计算仅限于重力势能与动能之间的相互转化</w:t>
      </w:r>
      <w:r w:rsidR="00F52276">
        <w:rPr>
          <w:rFonts w:hint="eastAsia"/>
        </w:rPr>
        <w:t>。</w:t>
      </w:r>
    </w:p>
    <w:p w:rsidR="005C6AD5" w:rsidRDefault="00F52276" w:rsidP="00F52276">
      <w:pPr>
        <w:ind w:firstLine="420"/>
      </w:pPr>
      <w:r>
        <w:rPr>
          <w:rFonts w:hint="eastAsia"/>
        </w:rPr>
        <w:t>与</w:t>
      </w:r>
      <w:r w:rsidR="005C6AD5">
        <w:rPr>
          <w:rFonts w:hint="eastAsia"/>
        </w:rPr>
        <w:t>基础型课程相比机械能守恒定律的应用，不但要更多联系</w:t>
      </w:r>
      <w:r>
        <w:rPr>
          <w:rFonts w:hint="eastAsia"/>
        </w:rPr>
        <w:t>生</w:t>
      </w:r>
      <w:r w:rsidR="005C6AD5">
        <w:rPr>
          <w:rFonts w:hint="eastAsia"/>
        </w:rPr>
        <w:t>活、技术实际，而且涉及的物体有时会有</w:t>
      </w:r>
      <w:r w:rsidR="005C6AD5">
        <w:rPr>
          <w:rFonts w:hint="eastAsia"/>
        </w:rPr>
        <w:t>2</w:t>
      </w:r>
      <w:r w:rsidR="005C6AD5">
        <w:rPr>
          <w:rFonts w:hint="eastAsia"/>
        </w:rPr>
        <w:t>个，甚至</w:t>
      </w:r>
      <w:r w:rsidR="005C6AD5">
        <w:rPr>
          <w:rFonts w:hint="eastAsia"/>
        </w:rPr>
        <w:t>2</w:t>
      </w:r>
      <w:r w:rsidR="005C6AD5">
        <w:rPr>
          <w:rFonts w:hint="eastAsia"/>
        </w:rPr>
        <w:t>个以</w:t>
      </w:r>
      <w:r>
        <w:rPr>
          <w:rFonts w:hint="eastAsia"/>
        </w:rPr>
        <w:t>上</w:t>
      </w:r>
      <w:r w:rsidR="005C6AD5">
        <w:rPr>
          <w:rFonts w:hint="eastAsia"/>
        </w:rPr>
        <w:t>。它们的速度大小可以相同，也可以不同，但不同速度之间关系比较简单，至于不同速度关系复杂的问题一般不作为学习的要求。</w:t>
      </w:r>
    </w:p>
    <w:p w:rsidR="005C6AD5" w:rsidRDefault="005C6AD5" w:rsidP="005C6AD5">
      <w:pPr>
        <w:pStyle w:val="2"/>
      </w:pPr>
      <w:r>
        <w:rPr>
          <w:rFonts w:hint="eastAsia"/>
        </w:rPr>
        <w:t>二、本章教学目标</w:t>
      </w:r>
    </w:p>
    <w:p w:rsidR="005C6AD5" w:rsidRDefault="005C6AD5" w:rsidP="005C6AD5">
      <w:pPr>
        <w:pStyle w:val="3"/>
      </w:pPr>
      <w:r>
        <w:rPr>
          <w:rFonts w:hint="eastAsia"/>
        </w:rPr>
        <w:t>1</w:t>
      </w:r>
      <w:r w:rsidR="00F52276">
        <w:rPr>
          <w:rFonts w:hint="eastAsia"/>
        </w:rPr>
        <w:t>．</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399"/>
        <w:gridCol w:w="1132"/>
        <w:gridCol w:w="4745"/>
      </w:tblGrid>
      <w:tr w:rsidR="00F52276" w:rsidRPr="00F52276" w:rsidTr="00F52276">
        <w:tc>
          <w:tcPr>
            <w:tcW w:w="2405" w:type="dxa"/>
            <w:tcBorders>
              <w:top w:val="single" w:sz="12" w:space="0" w:color="auto"/>
              <w:bottom w:val="single" w:sz="6" w:space="0" w:color="auto"/>
            </w:tcBorders>
            <w:shd w:val="clear" w:color="auto" w:fill="F2F2F2" w:themeFill="background1" w:themeFillShade="F2"/>
          </w:tcPr>
          <w:p w:rsidR="00F52276" w:rsidRPr="00F52276" w:rsidRDefault="00F52276" w:rsidP="00F52276">
            <w:pPr>
              <w:jc w:val="center"/>
              <w:rPr>
                <w:b/>
              </w:rPr>
            </w:pPr>
            <w:r w:rsidRPr="00F52276">
              <w:rPr>
                <w:rFonts w:hint="eastAsia"/>
                <w:b/>
              </w:rPr>
              <w:t>知识点</w:t>
            </w:r>
          </w:p>
        </w:tc>
        <w:tc>
          <w:tcPr>
            <w:tcW w:w="1134" w:type="dxa"/>
            <w:tcBorders>
              <w:top w:val="single" w:sz="12" w:space="0" w:color="auto"/>
              <w:bottom w:val="single" w:sz="6" w:space="0" w:color="auto"/>
            </w:tcBorders>
            <w:shd w:val="clear" w:color="auto" w:fill="F2F2F2" w:themeFill="background1" w:themeFillShade="F2"/>
          </w:tcPr>
          <w:p w:rsidR="00F52276" w:rsidRPr="00F52276" w:rsidRDefault="00F52276" w:rsidP="00F52276">
            <w:pPr>
              <w:jc w:val="center"/>
              <w:rPr>
                <w:b/>
              </w:rPr>
            </w:pPr>
            <w:r w:rsidRPr="00F52276">
              <w:rPr>
                <w:rFonts w:hint="eastAsia"/>
                <w:b/>
              </w:rPr>
              <w:t>学习水平</w:t>
            </w:r>
          </w:p>
        </w:tc>
        <w:tc>
          <w:tcPr>
            <w:tcW w:w="4757" w:type="dxa"/>
            <w:tcBorders>
              <w:top w:val="single" w:sz="12" w:space="0" w:color="auto"/>
              <w:bottom w:val="single" w:sz="6" w:space="0" w:color="auto"/>
            </w:tcBorders>
            <w:shd w:val="clear" w:color="auto" w:fill="F2F2F2" w:themeFill="background1" w:themeFillShade="F2"/>
          </w:tcPr>
          <w:p w:rsidR="00F52276" w:rsidRPr="00F52276" w:rsidRDefault="00F52276" w:rsidP="00F52276">
            <w:pPr>
              <w:jc w:val="center"/>
              <w:rPr>
                <w:b/>
              </w:rPr>
            </w:pPr>
            <w:r w:rsidRPr="00F52276">
              <w:rPr>
                <w:rFonts w:hint="eastAsia"/>
                <w:b/>
              </w:rPr>
              <w:t>说明</w:t>
            </w:r>
          </w:p>
        </w:tc>
      </w:tr>
      <w:tr w:rsidR="00F52276" w:rsidTr="00F52276">
        <w:tc>
          <w:tcPr>
            <w:tcW w:w="2405" w:type="dxa"/>
            <w:tcBorders>
              <w:top w:val="single" w:sz="6" w:space="0" w:color="auto"/>
            </w:tcBorders>
          </w:tcPr>
          <w:p w:rsidR="00F52276" w:rsidRDefault="00F52276" w:rsidP="00F52276">
            <w:pPr>
              <w:jc w:val="center"/>
            </w:pPr>
            <w:r>
              <w:rPr>
                <w:rFonts w:hint="eastAsia"/>
              </w:rPr>
              <w:t>机械能守恒定律的应用</w:t>
            </w:r>
          </w:p>
        </w:tc>
        <w:tc>
          <w:tcPr>
            <w:tcW w:w="1134" w:type="dxa"/>
            <w:tcBorders>
              <w:top w:val="single" w:sz="6" w:space="0" w:color="auto"/>
            </w:tcBorders>
          </w:tcPr>
          <w:p w:rsidR="00F52276" w:rsidRDefault="00F52276" w:rsidP="00F52276">
            <w:pPr>
              <w:jc w:val="center"/>
            </w:pPr>
            <w:r>
              <w:rPr>
                <w:rFonts w:hint="eastAsia"/>
              </w:rPr>
              <w:t>D</w:t>
            </w:r>
          </w:p>
        </w:tc>
        <w:tc>
          <w:tcPr>
            <w:tcW w:w="4757" w:type="dxa"/>
            <w:tcBorders>
              <w:top w:val="single" w:sz="6" w:space="0" w:color="auto"/>
            </w:tcBorders>
          </w:tcPr>
          <w:p w:rsidR="00F52276" w:rsidRDefault="00F52276" w:rsidP="005C6AD5">
            <w:r>
              <w:rPr>
                <w:rFonts w:hint="eastAsia"/>
              </w:rPr>
              <w:t>理解机械能守恒定律的条件，掌握机械能守恒定律。并能在新情景下运用机械能守恒定律及相关其他知识解决简单的实际问题</w:t>
            </w:r>
          </w:p>
        </w:tc>
      </w:tr>
    </w:tbl>
    <w:p w:rsidR="005C6AD5" w:rsidRDefault="005C6AD5" w:rsidP="006406AF">
      <w:pPr>
        <w:ind w:firstLine="420"/>
      </w:pPr>
      <w:r>
        <w:rPr>
          <w:rFonts w:hint="eastAsia"/>
        </w:rPr>
        <w:t>本章的核心知识是机械能守恒定律及对它的熟练应用</w:t>
      </w:r>
      <w:r w:rsidR="00F52276">
        <w:rPr>
          <w:rFonts w:hint="eastAsia"/>
        </w:rPr>
        <w:t>。</w:t>
      </w:r>
      <w:r>
        <w:rPr>
          <w:rFonts w:hint="eastAsia"/>
        </w:rPr>
        <w:t>D</w:t>
      </w:r>
      <w:r>
        <w:rPr>
          <w:rFonts w:hint="eastAsia"/>
        </w:rPr>
        <w:t>级学习水平在课程标准中属于知识与技能目标的最高级别的要求，对</w:t>
      </w:r>
      <w:r w:rsidR="006406AF">
        <w:rPr>
          <w:rFonts w:hint="eastAsia"/>
        </w:rPr>
        <w:t>机械</w:t>
      </w:r>
      <w:r>
        <w:rPr>
          <w:rFonts w:hint="eastAsia"/>
        </w:rPr>
        <w:t>能守恒定律的“应用级”要求即能分析力做功的情况，判断定律是否适用，并能结合运用相关其他物理规律，正确列出机械能守恒定律的表达式，解决新情景下的实际问题。</w:t>
      </w:r>
    </w:p>
    <w:p w:rsidR="005C6AD5" w:rsidRDefault="005C6AD5" w:rsidP="005C6AD5">
      <w:pPr>
        <w:pStyle w:val="3"/>
      </w:pPr>
      <w:r>
        <w:rPr>
          <w:rFonts w:hint="eastAsia"/>
        </w:rPr>
        <w:t>2</w:t>
      </w:r>
      <w:r w:rsidR="006406AF">
        <w:rPr>
          <w:rFonts w:hint="eastAsia"/>
        </w:rPr>
        <w:t>．</w:t>
      </w:r>
      <w:r>
        <w:rPr>
          <w:rFonts w:hint="eastAsia"/>
        </w:rPr>
        <w:t>过程与方法</w:t>
      </w:r>
    </w:p>
    <w:p w:rsidR="005C6AD5" w:rsidRDefault="005C6AD5" w:rsidP="006406AF">
      <w:pPr>
        <w:ind w:firstLine="420"/>
      </w:pPr>
      <w:r>
        <w:rPr>
          <w:rFonts w:hint="eastAsia"/>
        </w:rPr>
        <w:t>经历运用机械能守恒定律解决简单实际问题的分析过程，认识建模方法、理想化方法和近似处理方法。</w:t>
      </w:r>
    </w:p>
    <w:p w:rsidR="005C6AD5" w:rsidRDefault="005C6AD5" w:rsidP="005C6AD5">
      <w:pPr>
        <w:pStyle w:val="3"/>
      </w:pPr>
      <w:r>
        <w:rPr>
          <w:rFonts w:hint="eastAsia"/>
        </w:rPr>
        <w:t>3</w:t>
      </w:r>
      <w:r w:rsidR="006406AF">
        <w:rPr>
          <w:rFonts w:hint="eastAsia"/>
        </w:rPr>
        <w:t>．</w:t>
      </w:r>
      <w:r>
        <w:rPr>
          <w:rFonts w:hint="eastAsia"/>
        </w:rPr>
        <w:t>情感态度与价值观</w:t>
      </w:r>
    </w:p>
    <w:p w:rsidR="005C6AD5" w:rsidRDefault="005C6AD5" w:rsidP="006406AF">
      <w:pPr>
        <w:ind w:firstLine="420"/>
      </w:pPr>
      <w:r>
        <w:rPr>
          <w:rFonts w:hint="eastAsia"/>
        </w:rPr>
        <w:t>通过“荡船”、“钟摆”等实例，感悟在实际生活中“寻找守恒量”的重要意义；领略机械能守恒定律在解决诸如“滑板车”、“水力资源利用”等实际问题中的重要作用。</w:t>
      </w:r>
    </w:p>
    <w:p w:rsidR="005C6AD5" w:rsidRDefault="005C6AD5" w:rsidP="006406AF">
      <w:pPr>
        <w:pStyle w:val="2"/>
      </w:pPr>
      <w:r>
        <w:rPr>
          <w:rFonts w:hint="eastAsia"/>
        </w:rPr>
        <w:lastRenderedPageBreak/>
        <w:t>三、本童重点和难点</w:t>
      </w:r>
    </w:p>
    <w:p w:rsidR="005C6AD5" w:rsidRDefault="005C6AD5" w:rsidP="006406AF">
      <w:pPr>
        <w:ind w:firstLine="420"/>
      </w:pPr>
      <w:r>
        <w:rPr>
          <w:rFonts w:hint="eastAsia"/>
        </w:rPr>
        <w:t>本章重点是机械能守恒定律的应用；本章的难点是守恒条件的判断及应用时能量状态的分析</w:t>
      </w:r>
      <w:r w:rsidR="006406AF">
        <w:rPr>
          <w:rFonts w:hint="eastAsia"/>
        </w:rPr>
        <w:t>。</w:t>
      </w:r>
    </w:p>
    <w:p w:rsidR="005C6AD5" w:rsidRDefault="005C6AD5" w:rsidP="006406AF">
      <w:pPr>
        <w:pStyle w:val="2"/>
      </w:pPr>
      <w:r>
        <w:rPr>
          <w:rFonts w:hint="eastAsia"/>
        </w:rPr>
        <w:t>四、课时安排建议</w:t>
      </w:r>
    </w:p>
    <w:p w:rsidR="005C6AD5" w:rsidRDefault="005C6AD5" w:rsidP="006406AF">
      <w:pPr>
        <w:ind w:firstLine="420"/>
      </w:pPr>
      <w:r>
        <w:rPr>
          <w:rFonts w:hint="eastAsia"/>
        </w:rPr>
        <w:t>本章建议安排</w:t>
      </w:r>
      <w:r>
        <w:rPr>
          <w:rFonts w:hint="eastAsia"/>
        </w:rPr>
        <w:t>4</w:t>
      </w:r>
      <w:r>
        <w:rPr>
          <w:rFonts w:hint="eastAsia"/>
        </w:rPr>
        <w:t>课时，其中</w:t>
      </w:r>
      <w:r>
        <w:rPr>
          <w:rFonts w:hint="eastAsia"/>
        </w:rPr>
        <w:t>A</w:t>
      </w:r>
      <w:r>
        <w:rPr>
          <w:rFonts w:hint="eastAsia"/>
        </w:rPr>
        <w:t>节安排</w:t>
      </w:r>
      <w:r>
        <w:rPr>
          <w:rFonts w:hint="eastAsia"/>
        </w:rPr>
        <w:t>1</w:t>
      </w:r>
      <w:r>
        <w:rPr>
          <w:rFonts w:hint="eastAsia"/>
        </w:rPr>
        <w:t>课时，</w:t>
      </w:r>
      <w:r>
        <w:rPr>
          <w:rFonts w:hint="eastAsia"/>
        </w:rPr>
        <w:t>B</w:t>
      </w:r>
      <w:r>
        <w:rPr>
          <w:rFonts w:hint="eastAsia"/>
        </w:rPr>
        <w:t>节安排</w:t>
      </w:r>
      <w:r>
        <w:rPr>
          <w:rFonts w:hint="eastAsia"/>
        </w:rPr>
        <w:t>2</w:t>
      </w:r>
      <w:r>
        <w:rPr>
          <w:rFonts w:hint="eastAsia"/>
        </w:rPr>
        <w:t>课时，复习课</w:t>
      </w:r>
      <w:r>
        <w:rPr>
          <w:rFonts w:hint="eastAsia"/>
        </w:rPr>
        <w:t>1</w:t>
      </w:r>
      <w:r w:rsidR="006406AF">
        <w:rPr>
          <w:rFonts w:hint="eastAsia"/>
        </w:rPr>
        <w:t>课时。</w:t>
      </w:r>
      <w:bookmarkStart w:id="0" w:name="_GoBack"/>
      <w:bookmarkEnd w:id="0"/>
    </w:p>
    <w:sectPr w:rsidR="005C6AD5">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5CFF" w:rsidRDefault="00615CFF" w:rsidP="005C6AD5">
      <w:r>
        <w:separator/>
      </w:r>
    </w:p>
  </w:endnote>
  <w:endnote w:type="continuationSeparator" w:id="0">
    <w:p w:rsidR="00615CFF" w:rsidRDefault="00615CFF" w:rsidP="005C6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1311777"/>
      <w:docPartObj>
        <w:docPartGallery w:val="Page Numbers (Bottom of Page)"/>
        <w:docPartUnique/>
      </w:docPartObj>
    </w:sdtPr>
    <w:sdtEndPr/>
    <w:sdtContent>
      <w:sdt>
        <w:sdtPr>
          <w:id w:val="1728636285"/>
          <w:docPartObj>
            <w:docPartGallery w:val="Page Numbers (Top of Page)"/>
            <w:docPartUnique/>
          </w:docPartObj>
        </w:sdtPr>
        <w:sdtEndPr/>
        <w:sdtContent>
          <w:p w:rsidR="005C6AD5" w:rsidRDefault="005C6AD5">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6406AF">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6406AF">
              <w:rPr>
                <w:b/>
                <w:bCs/>
                <w:noProof/>
              </w:rPr>
              <w:t>2</w:t>
            </w:r>
            <w:r>
              <w:rPr>
                <w:b/>
                <w:bCs/>
                <w:sz w:val="24"/>
                <w:szCs w:val="24"/>
              </w:rPr>
              <w:fldChar w:fldCharType="end"/>
            </w:r>
          </w:p>
        </w:sdtContent>
      </w:sdt>
    </w:sdtContent>
  </w:sdt>
  <w:p w:rsidR="005C6AD5" w:rsidRDefault="005C6AD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5CFF" w:rsidRDefault="00615CFF" w:rsidP="005C6AD5">
      <w:r>
        <w:separator/>
      </w:r>
    </w:p>
  </w:footnote>
  <w:footnote w:type="continuationSeparator" w:id="0">
    <w:p w:rsidR="00615CFF" w:rsidRDefault="00615CFF" w:rsidP="005C6A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AD5"/>
    <w:rsid w:val="00017203"/>
    <w:rsid w:val="005B0616"/>
    <w:rsid w:val="005C6AD5"/>
    <w:rsid w:val="00615CFF"/>
    <w:rsid w:val="006406AF"/>
    <w:rsid w:val="008A0123"/>
    <w:rsid w:val="00F52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CA21FA-6895-4268-A6D6-EC83C4933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5C6AD5"/>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5C6AD5"/>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5C6AD5"/>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C6AD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C6AD5"/>
    <w:rPr>
      <w:sz w:val="18"/>
      <w:szCs w:val="18"/>
    </w:rPr>
  </w:style>
  <w:style w:type="paragraph" w:styleId="a4">
    <w:name w:val="footer"/>
    <w:basedOn w:val="a"/>
    <w:link w:val="Char0"/>
    <w:uiPriority w:val="99"/>
    <w:unhideWhenUsed/>
    <w:rsid w:val="005C6AD5"/>
    <w:pPr>
      <w:tabs>
        <w:tab w:val="center" w:pos="4153"/>
        <w:tab w:val="right" w:pos="8306"/>
      </w:tabs>
      <w:snapToGrid w:val="0"/>
      <w:jc w:val="left"/>
    </w:pPr>
    <w:rPr>
      <w:sz w:val="18"/>
      <w:szCs w:val="18"/>
    </w:rPr>
  </w:style>
  <w:style w:type="character" w:customStyle="1" w:styleId="Char0">
    <w:name w:val="页脚 Char"/>
    <w:basedOn w:val="a0"/>
    <w:link w:val="a4"/>
    <w:uiPriority w:val="99"/>
    <w:rsid w:val="005C6AD5"/>
    <w:rPr>
      <w:sz w:val="18"/>
      <w:szCs w:val="18"/>
    </w:rPr>
  </w:style>
  <w:style w:type="character" w:customStyle="1" w:styleId="1Char">
    <w:name w:val="标题 1 Char"/>
    <w:basedOn w:val="a0"/>
    <w:link w:val="1"/>
    <w:uiPriority w:val="9"/>
    <w:rsid w:val="005C6AD5"/>
    <w:rPr>
      <w:b/>
      <w:bCs/>
      <w:kern w:val="44"/>
      <w:sz w:val="44"/>
      <w:szCs w:val="44"/>
    </w:rPr>
  </w:style>
  <w:style w:type="character" w:customStyle="1" w:styleId="2Char">
    <w:name w:val="标题 2 Char"/>
    <w:basedOn w:val="a0"/>
    <w:link w:val="2"/>
    <w:uiPriority w:val="9"/>
    <w:rsid w:val="005C6AD5"/>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5C6AD5"/>
    <w:rPr>
      <w:b/>
      <w:bCs/>
      <w:sz w:val="32"/>
      <w:szCs w:val="32"/>
    </w:rPr>
  </w:style>
  <w:style w:type="table" w:styleId="a5">
    <w:name w:val="Table Grid"/>
    <w:basedOn w:val="a1"/>
    <w:uiPriority w:val="39"/>
    <w:rsid w:val="00F522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124</Words>
  <Characters>709</Characters>
  <Application>Microsoft Office Word</Application>
  <DocSecurity>0</DocSecurity>
  <Lines>5</Lines>
  <Paragraphs>1</Paragraphs>
  <ScaleCrop>false</ScaleCrop>
  <Company>shiba</Company>
  <LinksUpToDate>false</LinksUpToDate>
  <CharactersWithSpaces>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3</cp:revision>
  <dcterms:created xsi:type="dcterms:W3CDTF">2013-12-17T02:59:00Z</dcterms:created>
  <dcterms:modified xsi:type="dcterms:W3CDTF">2013-12-26T04:56:00Z</dcterms:modified>
</cp:coreProperties>
</file>